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Considerando o disposto na Resolução Nº 323-CONSAD, 25 de abril de 2024, que regulamenta as atividades de prestação de serviços e disciplina a tramitação de processos com vistas à celebração dos instrumentos contratuais de prestação de serviços técnicos especializados, </w:t>
      </w:r>
      <w:r w:rsidDel="00000000" w:rsidR="00000000" w:rsidRPr="00000000">
        <w:rPr>
          <w:b w:val="1"/>
          <w:rtl w:val="0"/>
        </w:rPr>
        <w:t xml:space="preserve">encaminhamos os documentos previstos nos arts. 1º e 2º para conhecimento e providência nos termos do inciso II, do § 3º, do art. 5º do Anexo II da referida Resolução, a saber: análise e aprovação pela subunidade acadêmica.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         Visando garantir a celeridade do processo, ressalta-se que, de acordo com a Resolução Nº 323-CONSAD, 25 de abril de 2024, em casos de justificada urgência ou impossibilidade de reunião da assembleia/colegiado em tempo hábil, a apreciação e aprovação podem ocorrer por </w:t>
      </w:r>
      <w:r w:rsidDel="00000000" w:rsidR="00000000" w:rsidRPr="00000000">
        <w:rPr>
          <w:i w:val="1"/>
          <w:rtl w:val="0"/>
        </w:rPr>
        <w:t xml:space="preserve">ad referendum</w:t>
      </w:r>
      <w:r w:rsidDel="00000000" w:rsidR="00000000" w:rsidRPr="00000000">
        <w:rPr>
          <w:rtl w:val="0"/>
        </w:rPr>
        <w:t xml:space="preserve"> com posterior apreciação/homologação coletiva da decisão monocrática.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          Para quaisquer dúvidas ou informações, a Diretoria de da Inovação e Serviços Tecnológicos (DIST/AGEUFMA) pode ser consultada. Ademais, após aprovação, o processo deve seguir à Diretoria mencionada para conhecimento e providências.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Respeitosamente,</w:t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iqs1C9Rxy+9UJbcBS/HcWsOJw==">CgMxLjA4AHIhMXpzVXNZdkJOdTl5UDl3SWplMGVzenhfVUZmajJvS3gy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